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85A1" w14:textId="77777777" w:rsidR="001A4812" w:rsidRDefault="001A4812">
      <w:pPr>
        <w:pStyle w:val="Standard"/>
        <w:jc w:val="center"/>
        <w:rPr>
          <w:b/>
          <w:bCs/>
          <w:color w:val="1F497D"/>
          <w:sz w:val="26"/>
          <w:szCs w:val="26"/>
          <w:u w:val="single"/>
        </w:rPr>
      </w:pPr>
    </w:p>
    <w:p w14:paraId="597D3440" w14:textId="77777777" w:rsidR="001A4812" w:rsidRDefault="001A4812">
      <w:pPr>
        <w:pStyle w:val="Standard"/>
        <w:jc w:val="center"/>
        <w:rPr>
          <w:b/>
          <w:bCs/>
          <w:color w:val="1F497D"/>
          <w:sz w:val="26"/>
          <w:szCs w:val="26"/>
          <w:u w:val="single"/>
        </w:rPr>
      </w:pPr>
    </w:p>
    <w:p w14:paraId="334A4F05" w14:textId="77777777" w:rsidR="001A4812" w:rsidRPr="001201A7" w:rsidRDefault="00000000">
      <w:pPr>
        <w:pStyle w:val="Standard"/>
        <w:jc w:val="center"/>
        <w:rPr>
          <w:b/>
          <w:bCs/>
          <w:color w:val="auto"/>
          <w:sz w:val="26"/>
          <w:szCs w:val="26"/>
          <w:u w:val="single"/>
        </w:rPr>
      </w:pPr>
      <w:r w:rsidRPr="001201A7">
        <w:rPr>
          <w:b/>
          <w:bCs/>
          <w:color w:val="auto"/>
          <w:sz w:val="26"/>
          <w:szCs w:val="26"/>
          <w:u w:val="single"/>
        </w:rPr>
        <w:t>Trámites para después de la defensa de tesis</w:t>
      </w:r>
    </w:p>
    <w:p w14:paraId="44C64F81" w14:textId="77777777" w:rsidR="001A4812" w:rsidRPr="001201A7" w:rsidRDefault="001A4812">
      <w:pPr>
        <w:pStyle w:val="Standard"/>
        <w:rPr>
          <w:rFonts w:ascii="Calibri" w:hAnsi="Calibri"/>
          <w:color w:val="auto"/>
        </w:rPr>
      </w:pPr>
    </w:p>
    <w:p w14:paraId="06E4D5CB" w14:textId="77777777" w:rsidR="001A4812" w:rsidRPr="001201A7" w:rsidRDefault="001A4812">
      <w:pPr>
        <w:pStyle w:val="Standard"/>
        <w:rPr>
          <w:rFonts w:ascii="Calibri" w:hAnsi="Calibri"/>
          <w:color w:val="auto"/>
        </w:rPr>
      </w:pPr>
    </w:p>
    <w:p w14:paraId="13EA7CA1" w14:textId="77777777" w:rsidR="001A4812" w:rsidRPr="001201A7" w:rsidRDefault="00000000">
      <w:pPr>
        <w:pStyle w:val="Standard"/>
        <w:rPr>
          <w:color w:val="auto"/>
        </w:rPr>
      </w:pPr>
      <w:r w:rsidRPr="001201A7">
        <w:rPr>
          <w:rFonts w:ascii="Calibri" w:hAnsi="Calibri"/>
          <w:color w:val="auto"/>
        </w:rPr>
        <w:t>C</w:t>
      </w:r>
      <w:r w:rsidRPr="001201A7">
        <w:rPr>
          <w:color w:val="auto"/>
          <w:sz w:val="26"/>
          <w:szCs w:val="26"/>
        </w:rPr>
        <w:t xml:space="preserve">arta del </w:t>
      </w:r>
      <w:proofErr w:type="gramStart"/>
      <w:r w:rsidRPr="001201A7">
        <w:rPr>
          <w:color w:val="auto"/>
          <w:sz w:val="26"/>
          <w:szCs w:val="26"/>
        </w:rPr>
        <w:t>Director</w:t>
      </w:r>
      <w:proofErr w:type="gramEnd"/>
      <w:r w:rsidRPr="001201A7">
        <w:rPr>
          <w:color w:val="auto"/>
          <w:sz w:val="26"/>
          <w:szCs w:val="26"/>
        </w:rPr>
        <w:t>(a) del TFG, haciendo constar que la versión final está correcta, en vista de haberle incorporado las observaciones que el Tribunal Examinador hiciera el día de la defensa pública.</w:t>
      </w:r>
    </w:p>
    <w:p w14:paraId="25BBE297" w14:textId="77777777" w:rsidR="001A4812" w:rsidRPr="001201A7" w:rsidRDefault="001A4812">
      <w:pPr>
        <w:pStyle w:val="Standard"/>
        <w:rPr>
          <w:color w:val="auto"/>
          <w:sz w:val="26"/>
          <w:szCs w:val="26"/>
        </w:rPr>
      </w:pPr>
    </w:p>
    <w:p w14:paraId="33F073E1" w14:textId="77777777" w:rsidR="001A4812" w:rsidRPr="001201A7" w:rsidRDefault="00000000">
      <w:pPr>
        <w:pStyle w:val="Standard"/>
        <w:rPr>
          <w:color w:val="auto"/>
          <w:sz w:val="26"/>
          <w:szCs w:val="26"/>
        </w:rPr>
      </w:pPr>
      <w:r w:rsidRPr="001201A7">
        <w:rPr>
          <w:color w:val="auto"/>
          <w:sz w:val="26"/>
          <w:szCs w:val="26"/>
        </w:rPr>
        <w:t>De no tener observaciones se debe presentar de igual manera la carta del director(a) del TFG.</w:t>
      </w:r>
    </w:p>
    <w:p w14:paraId="2A9A3AFB" w14:textId="77777777" w:rsidR="001A4812" w:rsidRPr="001201A7" w:rsidRDefault="001A4812">
      <w:pPr>
        <w:pStyle w:val="Standard"/>
        <w:rPr>
          <w:color w:val="auto"/>
          <w:sz w:val="26"/>
          <w:szCs w:val="26"/>
        </w:rPr>
      </w:pPr>
    </w:p>
    <w:p w14:paraId="79D58A85" w14:textId="77777777" w:rsidR="001A4812" w:rsidRPr="001201A7" w:rsidRDefault="00000000">
      <w:pPr>
        <w:pStyle w:val="Standard"/>
        <w:rPr>
          <w:color w:val="auto"/>
          <w:sz w:val="26"/>
          <w:szCs w:val="26"/>
        </w:rPr>
      </w:pPr>
      <w:r w:rsidRPr="001201A7">
        <w:rPr>
          <w:color w:val="auto"/>
          <w:sz w:val="26"/>
          <w:szCs w:val="26"/>
        </w:rPr>
        <w:t>Los ejemplares empastados en pasta dura, con su respectivo resumen que puede ser una o dos páginas, la hoja con las firmas originales del tribunal examinador y el (los) sustentante(s).</w:t>
      </w:r>
    </w:p>
    <w:p w14:paraId="102FFA45" w14:textId="77777777" w:rsidR="001A4812" w:rsidRPr="001201A7" w:rsidRDefault="001A4812">
      <w:pPr>
        <w:pStyle w:val="Standard"/>
        <w:rPr>
          <w:color w:val="auto"/>
          <w:sz w:val="26"/>
          <w:szCs w:val="26"/>
        </w:rPr>
      </w:pPr>
    </w:p>
    <w:p w14:paraId="1BA0D68D" w14:textId="77777777" w:rsidR="001A4812" w:rsidRPr="001201A7" w:rsidRDefault="00000000">
      <w:pPr>
        <w:pStyle w:val="Standard"/>
        <w:rPr>
          <w:color w:val="auto"/>
        </w:rPr>
      </w:pPr>
      <w:r w:rsidRPr="001201A7">
        <w:rPr>
          <w:b/>
          <w:bCs/>
          <w:color w:val="auto"/>
          <w:sz w:val="26"/>
          <w:szCs w:val="26"/>
        </w:rPr>
        <w:t>El</w:t>
      </w:r>
      <w:r w:rsidRPr="001201A7">
        <w:rPr>
          <w:b/>
          <w:bCs/>
          <w:color w:val="auto"/>
          <w:sz w:val="26"/>
          <w:szCs w:val="26"/>
          <w:u w:val="single"/>
        </w:rPr>
        <w:t xml:space="preserve"> disco compacto </w:t>
      </w:r>
      <w:r w:rsidRPr="001201A7">
        <w:rPr>
          <w:b/>
          <w:bCs/>
          <w:color w:val="auto"/>
          <w:sz w:val="26"/>
          <w:szCs w:val="26"/>
        </w:rPr>
        <w:t xml:space="preserve">y </w:t>
      </w:r>
      <w:r w:rsidRPr="001201A7">
        <w:rPr>
          <w:b/>
          <w:bCs/>
          <w:color w:val="auto"/>
          <w:sz w:val="26"/>
          <w:szCs w:val="26"/>
          <w:u w:val="single"/>
        </w:rPr>
        <w:t>la caja</w:t>
      </w:r>
      <w:r w:rsidRPr="001201A7">
        <w:rPr>
          <w:b/>
          <w:bCs/>
          <w:color w:val="auto"/>
          <w:sz w:val="26"/>
          <w:szCs w:val="26"/>
        </w:rPr>
        <w:t xml:space="preserve"> deben venir con una cubierta que reproduzca los datos de la portada: nombre, institución, título y subtítulo del trabajo, año. El contenido del disco debe venir en el formato PDF</w:t>
      </w:r>
    </w:p>
    <w:p w14:paraId="04539C85" w14:textId="77777777" w:rsidR="001A4812" w:rsidRPr="001201A7" w:rsidRDefault="001A4812">
      <w:pPr>
        <w:pStyle w:val="Standard"/>
        <w:rPr>
          <w:color w:val="auto"/>
          <w:sz w:val="26"/>
          <w:szCs w:val="26"/>
        </w:rPr>
      </w:pPr>
    </w:p>
    <w:p w14:paraId="16A83DC3" w14:textId="77777777" w:rsidR="001A4812" w:rsidRPr="001201A7" w:rsidRDefault="00000000">
      <w:pPr>
        <w:pStyle w:val="ListParagraph"/>
        <w:numPr>
          <w:ilvl w:val="0"/>
          <w:numId w:val="4"/>
        </w:numPr>
        <w:rPr>
          <w:color w:val="auto"/>
        </w:rPr>
      </w:pPr>
      <w:r w:rsidRPr="001201A7">
        <w:rPr>
          <w:color w:val="auto"/>
          <w:sz w:val="26"/>
          <w:szCs w:val="26"/>
        </w:rPr>
        <w:t>1 impreso, 1 CD para la Biblioteca Carlos Monge Alfaro</w:t>
      </w:r>
    </w:p>
    <w:p w14:paraId="4F561218" w14:textId="77777777" w:rsidR="001A4812" w:rsidRPr="001201A7" w:rsidRDefault="00000000">
      <w:pPr>
        <w:pStyle w:val="ListParagraph"/>
        <w:numPr>
          <w:ilvl w:val="0"/>
          <w:numId w:val="2"/>
        </w:numPr>
        <w:rPr>
          <w:color w:val="auto"/>
        </w:rPr>
      </w:pPr>
      <w:r w:rsidRPr="001201A7">
        <w:rPr>
          <w:color w:val="auto"/>
          <w:sz w:val="26"/>
          <w:szCs w:val="26"/>
        </w:rPr>
        <w:t xml:space="preserve">1 impreso, 1 CD para la Biblioteca Eugenio Fonseca </w:t>
      </w:r>
      <w:proofErr w:type="spellStart"/>
      <w:r w:rsidRPr="001201A7">
        <w:rPr>
          <w:color w:val="auto"/>
          <w:sz w:val="26"/>
          <w:szCs w:val="26"/>
        </w:rPr>
        <w:t>Tortós</w:t>
      </w:r>
      <w:proofErr w:type="spellEnd"/>
    </w:p>
    <w:p w14:paraId="3400FBA9" w14:textId="77777777" w:rsidR="001A4812" w:rsidRPr="001201A7" w:rsidRDefault="00000000">
      <w:pPr>
        <w:pStyle w:val="ListParagraph"/>
        <w:numPr>
          <w:ilvl w:val="0"/>
          <w:numId w:val="2"/>
        </w:numPr>
        <w:rPr>
          <w:color w:val="auto"/>
          <w:sz w:val="26"/>
          <w:szCs w:val="26"/>
        </w:rPr>
      </w:pPr>
      <w:r w:rsidRPr="001201A7">
        <w:rPr>
          <w:color w:val="auto"/>
          <w:sz w:val="26"/>
          <w:szCs w:val="26"/>
        </w:rPr>
        <w:t>1 CD para la Escuela de Historia</w:t>
      </w:r>
    </w:p>
    <w:p w14:paraId="24C34D2D" w14:textId="77777777" w:rsidR="001A4812" w:rsidRPr="001201A7" w:rsidRDefault="00000000">
      <w:pPr>
        <w:pStyle w:val="ListParagraph"/>
        <w:numPr>
          <w:ilvl w:val="0"/>
          <w:numId w:val="2"/>
        </w:numPr>
        <w:rPr>
          <w:color w:val="auto"/>
          <w:sz w:val="26"/>
          <w:szCs w:val="26"/>
        </w:rPr>
      </w:pPr>
      <w:r w:rsidRPr="001201A7">
        <w:rPr>
          <w:color w:val="auto"/>
          <w:sz w:val="26"/>
          <w:szCs w:val="26"/>
        </w:rPr>
        <w:t xml:space="preserve">Debe llenar una boleta de automatización de tesis del Sistema de bibliotecas (SIBDI), cuando hace entrega del documento final </w:t>
      </w:r>
      <w:proofErr w:type="gramStart"/>
      <w:r w:rsidRPr="001201A7">
        <w:rPr>
          <w:color w:val="auto"/>
          <w:sz w:val="26"/>
          <w:szCs w:val="26"/>
        </w:rPr>
        <w:t>( se</w:t>
      </w:r>
      <w:proofErr w:type="gramEnd"/>
      <w:r w:rsidRPr="001201A7">
        <w:rPr>
          <w:color w:val="auto"/>
          <w:sz w:val="26"/>
          <w:szCs w:val="26"/>
        </w:rPr>
        <w:t xml:space="preserve"> adjunta)</w:t>
      </w:r>
    </w:p>
    <w:p w14:paraId="73747576" w14:textId="77777777" w:rsidR="001A4812" w:rsidRPr="001201A7" w:rsidRDefault="00000000">
      <w:pPr>
        <w:pStyle w:val="ListParagraph"/>
        <w:numPr>
          <w:ilvl w:val="0"/>
          <w:numId w:val="2"/>
        </w:numPr>
        <w:rPr>
          <w:color w:val="auto"/>
          <w:sz w:val="26"/>
          <w:szCs w:val="26"/>
        </w:rPr>
      </w:pPr>
      <w:r w:rsidRPr="001201A7">
        <w:rPr>
          <w:color w:val="auto"/>
          <w:sz w:val="26"/>
          <w:szCs w:val="26"/>
        </w:rPr>
        <w:t>Los CD deben venir con la firma del Tribunal Examinador igual que en la versión impresa.</w:t>
      </w:r>
    </w:p>
    <w:sectPr w:rsidR="001A4812" w:rsidRPr="001201A7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F381" w14:textId="77777777" w:rsidR="00861646" w:rsidRDefault="00861646">
      <w:r>
        <w:separator/>
      </w:r>
    </w:p>
  </w:endnote>
  <w:endnote w:type="continuationSeparator" w:id="0">
    <w:p w14:paraId="032CDC37" w14:textId="77777777" w:rsidR="00861646" w:rsidRDefault="0086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447B" w14:textId="77777777" w:rsidR="00861646" w:rsidRDefault="00861646">
      <w:r>
        <w:rPr>
          <w:color w:val="000000"/>
        </w:rPr>
        <w:separator/>
      </w:r>
    </w:p>
  </w:footnote>
  <w:footnote w:type="continuationSeparator" w:id="0">
    <w:p w14:paraId="12DF0994" w14:textId="77777777" w:rsidR="00861646" w:rsidRDefault="0086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D2F"/>
    <w:multiLevelType w:val="multilevel"/>
    <w:tmpl w:val="9758A48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A9C7AFD"/>
    <w:multiLevelType w:val="multilevel"/>
    <w:tmpl w:val="228E11E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8C6137C"/>
    <w:multiLevelType w:val="multilevel"/>
    <w:tmpl w:val="505A220E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6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num w:numId="1" w16cid:durableId="1484856731">
    <w:abstractNumId w:val="1"/>
  </w:num>
  <w:num w:numId="2" w16cid:durableId="1688484464">
    <w:abstractNumId w:val="2"/>
  </w:num>
  <w:num w:numId="3" w16cid:durableId="1041709769">
    <w:abstractNumId w:val="0"/>
  </w:num>
  <w:num w:numId="4" w16cid:durableId="208036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12"/>
    <w:rsid w:val="001201A7"/>
    <w:rsid w:val="001A4812"/>
    <w:rsid w:val="00861646"/>
    <w:rsid w:val="00AB61DB"/>
    <w:rsid w:val="00D4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3790"/>
  <w15:docId w15:val="{5622251B-762F-4AEF-98A5-903AA127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Times New Roman"/>
      <w:color w:val="00000A"/>
      <w:sz w:val="24"/>
      <w:szCs w:val="24"/>
      <w:lang w:eastAsia="es-ES"/>
    </w:rPr>
  </w:style>
  <w:style w:type="paragraph" w:customStyle="1" w:styleId="Heading">
    <w:name w:val="Heading"/>
    <w:basedOn w:val="Standard"/>
    <w:next w:val="Textbody"/>
    <w:pPr>
      <w:widowControl w:val="0"/>
    </w:pPr>
    <w:rPr>
      <w:rFonts w:ascii="Calibri" w:hAnsi="Calibri" w:cs="Tahoma"/>
      <w:szCs w:val="22"/>
      <w:lang w:eastAsia="en-US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paragraph" w:customStyle="1" w:styleId="Encabezado">
    <w:name w:val="Encabezado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Quotations">
    <w:name w:val="Quotations"/>
    <w:basedOn w:val="Standard"/>
  </w:style>
  <w:style w:type="paragraph" w:styleId="Subtitle">
    <w:name w:val="Subtitle"/>
    <w:basedOn w:val="Encabezado"/>
    <w:uiPriority w:val="11"/>
    <w:qFormat/>
  </w:style>
  <w:style w:type="character" w:customStyle="1" w:styleId="ListLabel1">
    <w:name w:val="ListLabel 1"/>
    <w:rPr>
      <w:rFonts w:cs="Wingdings"/>
      <w:sz w:val="26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ivanm 2001</cp:lastModifiedBy>
  <cp:revision>4</cp:revision>
  <cp:lastPrinted>2016-09-22T14:22:00Z</cp:lastPrinted>
  <dcterms:created xsi:type="dcterms:W3CDTF">2022-08-04T22:14:00Z</dcterms:created>
  <dcterms:modified xsi:type="dcterms:W3CDTF">2022-08-04T22:16:00Z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de Costa Rica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